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1518">
      <w:pPr>
        <w:pStyle w:val="3"/>
        <w:rPr>
          <w:rFonts w:eastAsia="Times New Roman"/>
          <w:color w:val="000000"/>
        </w:rPr>
      </w:pPr>
      <w:bookmarkStart w:id="0" w:name="_GoBack"/>
      <w:bookmarkEnd w:id="0"/>
      <w:r>
        <w:rPr>
          <w:rFonts w:eastAsia="Times New Roman"/>
          <w:color w:val="000000"/>
        </w:rPr>
        <w:t>Титульний аркуш Повідомлення</w:t>
      </w:r>
      <w:r>
        <w:rPr>
          <w:rFonts w:eastAsia="Times New Roman"/>
          <w:color w:val="000000"/>
        </w:rPr>
        <w:br/>
        <w:t>(Повідомлення про інформацію)</w:t>
      </w:r>
    </w:p>
    <w:tbl>
      <w:tblPr>
        <w:tblW w:w="2500" w:type="pct"/>
        <w:tblCellMar>
          <w:top w:w="60" w:type="dxa"/>
          <w:left w:w="60" w:type="dxa"/>
          <w:bottom w:w="60" w:type="dxa"/>
          <w:right w:w="60" w:type="dxa"/>
        </w:tblCellMar>
        <w:tblLook w:val="04A0" w:firstRow="1" w:lastRow="0" w:firstColumn="1" w:lastColumn="0" w:noHBand="0" w:noVBand="1"/>
      </w:tblPr>
      <w:tblGrid>
        <w:gridCol w:w="5118"/>
      </w:tblGrid>
      <w:tr w:rsidR="00000000">
        <w:tc>
          <w:tcPr>
            <w:tcW w:w="0" w:type="auto"/>
            <w:tcMar>
              <w:top w:w="15" w:type="dxa"/>
              <w:left w:w="15" w:type="dxa"/>
              <w:bottom w:w="15" w:type="dxa"/>
              <w:right w:w="15" w:type="dxa"/>
            </w:tcMar>
            <w:vAlign w:val="center"/>
            <w:hideMark/>
          </w:tcPr>
          <w:p w:rsidR="00000000" w:rsidRDefault="00121518">
            <w:pPr>
              <w:jc w:val="center"/>
              <w:rPr>
                <w:rFonts w:eastAsia="Times New Roman"/>
                <w:color w:val="000000"/>
              </w:rPr>
            </w:pPr>
          </w:p>
        </w:tc>
      </w:tr>
    </w:tbl>
    <w:p w:rsidR="00000000" w:rsidRDefault="0012151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49"/>
        <w:gridCol w:w="4262"/>
        <w:gridCol w:w="180"/>
        <w:gridCol w:w="821"/>
        <w:gridCol w:w="180"/>
        <w:gridCol w:w="4533"/>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p>
        </w:tc>
        <w:tc>
          <w:tcPr>
            <w:tcW w:w="0" w:type="auto"/>
            <w:gridSpan w:val="3"/>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08.04.2019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Style w:val="small-text1"/>
                <w:rFonts w:eastAsia="Times New Roman"/>
                <w:color w:val="000000"/>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right"/>
              <w:rPr>
                <w:rFonts w:eastAsia="Times New Roman"/>
                <w:color w:val="000000"/>
              </w:rPr>
            </w:pPr>
            <w:r>
              <w:rPr>
                <w:rFonts w:eastAsia="Times New Roman"/>
                <w:color w:val="000000"/>
              </w:rPr>
              <w:t>№</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48</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Style w:val="small-text1"/>
                <w:rFonts w:eastAsia="Times New Roman"/>
                <w:color w:val="000000"/>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 </w:t>
            </w:r>
          </w:p>
        </w:tc>
      </w:tr>
      <w:tr w:rsidR="00000000">
        <w:tc>
          <w:tcPr>
            <w:tcW w:w="0" w:type="auto"/>
            <w:gridSpan w:val="6"/>
            <w:tcBorders>
              <w:top w:val="nil"/>
              <w:left w:val="nil"/>
              <w:bottom w:val="nil"/>
              <w:right w:val="nil"/>
            </w:tcBorders>
            <w:tcMar>
              <w:top w:w="60" w:type="dxa"/>
              <w:left w:w="60" w:type="dxa"/>
              <w:bottom w:w="60" w:type="dxa"/>
              <w:right w:w="60" w:type="dxa"/>
            </w:tcMar>
            <w:vAlign w:val="center"/>
            <w:hideMark/>
          </w:tcPr>
          <w:p w:rsidR="00000000" w:rsidRDefault="00121518">
            <w:pPr>
              <w:jc w:val="both"/>
              <w:rPr>
                <w:rFonts w:eastAsia="Times New Roman"/>
                <w:color w:val="000000"/>
              </w:rPr>
            </w:pPr>
            <w:r>
              <w:rPr>
                <w:rFonts w:eastAsia="Times New Roman"/>
                <w:color w:val="000000"/>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eastAsia="Times New Roman"/>
                <w:color w:val="000000"/>
              </w:rPr>
              <w:t xml:space="preserve">26, зареєстрованого в Міністерстві юстиції України 24 грудня 2013 року за № 2180/24712 (із змінами)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p>
        </w:tc>
        <w:tc>
          <w:tcPr>
            <w:tcW w:w="3000" w:type="dxa"/>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Iвченко Олександр Анатолiйович</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Style w:val="small-text1"/>
                <w:rFonts w:eastAsia="Times New Roman"/>
                <w:color w:val="000000"/>
              </w:rPr>
              <w:t>(прізвище та ініціали керівника)</w:t>
            </w:r>
          </w:p>
        </w:tc>
      </w:tr>
    </w:tbl>
    <w:p w:rsidR="00000000" w:rsidRDefault="00121518">
      <w:pPr>
        <w:rPr>
          <w:rFonts w:eastAsia="Times New Roman"/>
          <w:color w:val="000000"/>
        </w:rPr>
      </w:pPr>
    </w:p>
    <w:p w:rsidR="00000000" w:rsidRDefault="00121518">
      <w:pPr>
        <w:pStyle w:val="4"/>
        <w:rPr>
          <w:rFonts w:eastAsia="Times New Roman"/>
          <w:color w:val="000000"/>
        </w:rPr>
      </w:pPr>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rsidR="00000000" w:rsidRDefault="00121518">
      <w:pPr>
        <w:pStyle w:val="4"/>
        <w:rPr>
          <w:rFonts w:eastAsia="Times New Roman"/>
          <w:color w:val="000000"/>
        </w:rPr>
      </w:pPr>
      <w:r>
        <w:rPr>
          <w:rFonts w:eastAsia="Times New Roman"/>
          <w:color w:val="000000"/>
        </w:rPr>
        <w:t>I. Загальні відомості</w:t>
      </w:r>
    </w:p>
    <w:tbl>
      <w:tblPr>
        <w:tblW w:w="5000" w:type="pct"/>
        <w:tblCellMar>
          <w:top w:w="60" w:type="dxa"/>
          <w:left w:w="60" w:type="dxa"/>
          <w:bottom w:w="60" w:type="dxa"/>
          <w:right w:w="60" w:type="dxa"/>
        </w:tblCellMar>
        <w:tblLook w:val="04A0" w:firstRow="1" w:lastRow="0" w:firstColumn="1" w:lastColumn="0" w:noHBand="0" w:noVBand="1"/>
      </w:tblPr>
      <w:tblGrid>
        <w:gridCol w:w="10325"/>
      </w:tblGrid>
      <w:tr w:rsidR="00000000">
        <w:tc>
          <w:tcPr>
            <w:tcW w:w="0" w:type="auto"/>
            <w:tcBorders>
              <w:top w:val="nil"/>
              <w:left w:val="nil"/>
              <w:bottom w:val="nil"/>
              <w:right w:val="nil"/>
            </w:tcBorders>
            <w:vAlign w:val="center"/>
            <w:hideMark/>
          </w:tcPr>
          <w:p w:rsidR="00000000" w:rsidRDefault="00121518">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vAlign w:val="center"/>
            <w:hideMark/>
          </w:tcPr>
          <w:p w:rsidR="00000000" w:rsidRDefault="00121518">
            <w:pPr>
              <w:jc w:val="center"/>
              <w:rPr>
                <w:rFonts w:eastAsia="Times New Roman"/>
                <w:color w:val="000000"/>
              </w:rPr>
            </w:pPr>
            <w:r>
              <w:rPr>
                <w:rFonts w:eastAsia="Times New Roman"/>
                <w:i/>
                <w:iCs/>
                <w:color w:val="000000"/>
              </w:rPr>
              <w:t>Приватне акцiонерне товариство "Шосткинський хлiбокомбiнат"</w:t>
            </w:r>
          </w:p>
        </w:tc>
      </w:tr>
      <w:tr w:rsidR="00000000">
        <w:tc>
          <w:tcPr>
            <w:tcW w:w="0" w:type="auto"/>
            <w:tcBorders>
              <w:top w:val="nil"/>
              <w:left w:val="nil"/>
              <w:bottom w:val="nil"/>
              <w:right w:val="nil"/>
            </w:tcBorders>
            <w:vAlign w:val="center"/>
            <w:hideMark/>
          </w:tcPr>
          <w:p w:rsidR="00000000" w:rsidRDefault="00121518">
            <w:pPr>
              <w:rPr>
                <w:rFonts w:eastAsia="Times New Roman"/>
                <w:color w:val="000000"/>
              </w:rPr>
            </w:pPr>
            <w:r>
              <w:rPr>
                <w:rFonts w:eastAsia="Times New Roman"/>
                <w:color w:val="000000"/>
              </w:rPr>
              <w:t>2. Організаційно-правова</w:t>
            </w:r>
            <w:r>
              <w:rPr>
                <w:rFonts w:eastAsia="Times New Roman"/>
                <w:color w:val="000000"/>
              </w:rPr>
              <w:t xml:space="preserve"> форма</w:t>
            </w:r>
          </w:p>
        </w:tc>
      </w:tr>
      <w:tr w:rsidR="00000000">
        <w:tc>
          <w:tcPr>
            <w:tcW w:w="0" w:type="auto"/>
            <w:tcBorders>
              <w:top w:val="nil"/>
              <w:left w:val="nil"/>
              <w:bottom w:val="nil"/>
              <w:right w:val="nil"/>
            </w:tcBorders>
            <w:vAlign w:val="center"/>
            <w:hideMark/>
          </w:tcPr>
          <w:p w:rsidR="00000000" w:rsidRDefault="00121518">
            <w:pPr>
              <w:jc w:val="center"/>
              <w:rPr>
                <w:rFonts w:eastAsia="Times New Roman"/>
                <w:color w:val="000000"/>
              </w:rPr>
            </w:pPr>
            <w:r>
              <w:rPr>
                <w:rFonts w:eastAsia="Times New Roman"/>
                <w:color w:val="000000"/>
              </w:rPr>
              <w:t>Приватне акціонерне товариство</w:t>
            </w:r>
          </w:p>
        </w:tc>
      </w:tr>
      <w:tr w:rsidR="00000000">
        <w:tc>
          <w:tcPr>
            <w:tcW w:w="0" w:type="auto"/>
            <w:tcBorders>
              <w:top w:val="nil"/>
              <w:left w:val="nil"/>
              <w:bottom w:val="nil"/>
              <w:right w:val="nil"/>
            </w:tcBorders>
            <w:vAlign w:val="center"/>
            <w:hideMark/>
          </w:tcPr>
          <w:p w:rsidR="00000000" w:rsidRDefault="00121518">
            <w:pPr>
              <w:rPr>
                <w:rFonts w:eastAsia="Times New Roman"/>
                <w:color w:val="000000"/>
              </w:rPr>
            </w:pPr>
            <w:r>
              <w:rPr>
                <w:rFonts w:eastAsia="Times New Roman"/>
                <w:color w:val="000000"/>
              </w:rPr>
              <w:t>3. Місцезнаходження</w:t>
            </w:r>
          </w:p>
        </w:tc>
      </w:tr>
      <w:tr w:rsidR="00000000">
        <w:tc>
          <w:tcPr>
            <w:tcW w:w="0" w:type="auto"/>
            <w:tcBorders>
              <w:top w:val="nil"/>
              <w:left w:val="nil"/>
              <w:bottom w:val="nil"/>
              <w:right w:val="nil"/>
            </w:tcBorders>
            <w:vAlign w:val="center"/>
            <w:hideMark/>
          </w:tcPr>
          <w:p w:rsidR="00000000" w:rsidRDefault="00121518">
            <w:pPr>
              <w:jc w:val="center"/>
              <w:rPr>
                <w:rFonts w:eastAsia="Times New Roman"/>
                <w:color w:val="000000"/>
              </w:rPr>
            </w:pPr>
            <w:r>
              <w:rPr>
                <w:rFonts w:eastAsia="Times New Roman"/>
                <w:color w:val="000000"/>
              </w:rPr>
              <w:t>41100, Сумська обл., м.Шостка, вул. Шевченка,53</w:t>
            </w:r>
          </w:p>
        </w:tc>
      </w:tr>
      <w:tr w:rsidR="00000000">
        <w:tc>
          <w:tcPr>
            <w:tcW w:w="0" w:type="auto"/>
            <w:tcBorders>
              <w:top w:val="nil"/>
              <w:left w:val="nil"/>
              <w:bottom w:val="nil"/>
              <w:right w:val="nil"/>
            </w:tcBorders>
            <w:vAlign w:val="center"/>
            <w:hideMark/>
          </w:tcPr>
          <w:p w:rsidR="00000000" w:rsidRDefault="00121518">
            <w:pPr>
              <w:rPr>
                <w:rFonts w:eastAsia="Times New Roman"/>
                <w:color w:val="000000"/>
              </w:rPr>
            </w:pPr>
            <w:r>
              <w:rPr>
                <w:rFonts w:eastAsia="Times New Roman"/>
                <w:color w:val="000000"/>
              </w:rPr>
              <w:t>4. Ідентифікаційний код юридичної особи</w:t>
            </w:r>
          </w:p>
        </w:tc>
      </w:tr>
      <w:tr w:rsidR="00000000">
        <w:tc>
          <w:tcPr>
            <w:tcW w:w="0" w:type="auto"/>
            <w:tcBorders>
              <w:top w:val="nil"/>
              <w:left w:val="nil"/>
              <w:bottom w:val="nil"/>
              <w:right w:val="nil"/>
            </w:tcBorders>
            <w:vAlign w:val="center"/>
            <w:hideMark/>
          </w:tcPr>
          <w:p w:rsidR="00000000" w:rsidRDefault="00121518">
            <w:pPr>
              <w:jc w:val="center"/>
              <w:rPr>
                <w:rFonts w:eastAsia="Times New Roman"/>
                <w:color w:val="000000"/>
              </w:rPr>
            </w:pPr>
            <w:r>
              <w:rPr>
                <w:rFonts w:eastAsia="Times New Roman"/>
                <w:color w:val="000000"/>
              </w:rPr>
              <w:t>00379494</w:t>
            </w:r>
          </w:p>
        </w:tc>
      </w:tr>
      <w:tr w:rsidR="00000000">
        <w:tc>
          <w:tcPr>
            <w:tcW w:w="0" w:type="auto"/>
            <w:tcBorders>
              <w:top w:val="nil"/>
              <w:left w:val="nil"/>
              <w:bottom w:val="nil"/>
              <w:right w:val="nil"/>
            </w:tcBorders>
            <w:vAlign w:val="center"/>
            <w:hideMark/>
          </w:tcPr>
          <w:p w:rsidR="00000000" w:rsidRDefault="00121518">
            <w:pPr>
              <w:rPr>
                <w:rFonts w:eastAsia="Times New Roman"/>
                <w:color w:val="000000"/>
              </w:rPr>
            </w:pPr>
            <w:r>
              <w:rPr>
                <w:rFonts w:eastAsia="Times New Roman"/>
                <w:color w:val="000000"/>
              </w:rPr>
              <w:t>5. Міжміський код та телефон, факс</w:t>
            </w:r>
          </w:p>
        </w:tc>
      </w:tr>
      <w:tr w:rsidR="00000000">
        <w:tc>
          <w:tcPr>
            <w:tcW w:w="0" w:type="auto"/>
            <w:tcBorders>
              <w:top w:val="nil"/>
              <w:left w:val="nil"/>
              <w:bottom w:val="nil"/>
              <w:right w:val="nil"/>
            </w:tcBorders>
            <w:vAlign w:val="center"/>
            <w:hideMark/>
          </w:tcPr>
          <w:p w:rsidR="00000000" w:rsidRDefault="00121518">
            <w:pPr>
              <w:jc w:val="center"/>
              <w:rPr>
                <w:rFonts w:eastAsia="Times New Roman"/>
                <w:color w:val="000000"/>
              </w:rPr>
            </w:pPr>
            <w:r>
              <w:rPr>
                <w:rFonts w:eastAsia="Times New Roman"/>
                <w:color w:val="000000"/>
              </w:rPr>
              <w:t>05449 71010 05449 71010</w:t>
            </w:r>
          </w:p>
        </w:tc>
      </w:tr>
      <w:tr w:rsidR="00000000">
        <w:tc>
          <w:tcPr>
            <w:tcW w:w="0" w:type="auto"/>
            <w:tcBorders>
              <w:top w:val="nil"/>
              <w:left w:val="nil"/>
              <w:bottom w:val="nil"/>
              <w:right w:val="nil"/>
            </w:tcBorders>
            <w:vAlign w:val="center"/>
            <w:hideMark/>
          </w:tcPr>
          <w:p w:rsidR="00000000" w:rsidRDefault="00121518">
            <w:pPr>
              <w:rPr>
                <w:rFonts w:eastAsia="Times New Roman"/>
                <w:color w:val="000000"/>
              </w:rPr>
            </w:pPr>
            <w:r>
              <w:rPr>
                <w:rFonts w:eastAsia="Times New Roman"/>
                <w:color w:val="000000"/>
              </w:rPr>
              <w:t>6. Адреса електронної пошти</w:t>
            </w:r>
          </w:p>
        </w:tc>
      </w:tr>
      <w:tr w:rsidR="00000000">
        <w:tc>
          <w:tcPr>
            <w:tcW w:w="0" w:type="auto"/>
            <w:tcBorders>
              <w:top w:val="nil"/>
              <w:left w:val="nil"/>
              <w:bottom w:val="nil"/>
              <w:right w:val="nil"/>
            </w:tcBorders>
            <w:vAlign w:val="center"/>
            <w:hideMark/>
          </w:tcPr>
          <w:p w:rsidR="00000000" w:rsidRDefault="00121518">
            <w:pPr>
              <w:jc w:val="center"/>
              <w:rPr>
                <w:rFonts w:eastAsia="Times New Roman"/>
                <w:color w:val="000000"/>
              </w:rPr>
            </w:pPr>
            <w:r>
              <w:rPr>
                <w:rFonts w:eastAsia="Times New Roman"/>
                <w:color w:val="000000"/>
              </w:rPr>
              <w:t>shostka.hleb@gmail.com</w:t>
            </w:r>
          </w:p>
        </w:tc>
      </w:tr>
      <w:tr w:rsidR="00000000">
        <w:tc>
          <w:tcPr>
            <w:tcW w:w="0" w:type="auto"/>
            <w:tcBorders>
              <w:top w:val="nil"/>
              <w:left w:val="nil"/>
              <w:bottom w:val="nil"/>
              <w:right w:val="nil"/>
            </w:tcBorders>
            <w:vAlign w:val="center"/>
            <w:hideMark/>
          </w:tcPr>
          <w:p w:rsidR="00000000" w:rsidRDefault="00121518">
            <w:pPr>
              <w:jc w:val="center"/>
              <w:rPr>
                <w:rFonts w:eastAsia="Times New Roman"/>
                <w:color w:val="000000"/>
              </w:rPr>
            </w:pPr>
          </w:p>
        </w:tc>
      </w:tr>
      <w:tr w:rsidR="00000000">
        <w:tc>
          <w:tcPr>
            <w:tcW w:w="0" w:type="auto"/>
            <w:tcBorders>
              <w:top w:val="nil"/>
              <w:left w:val="nil"/>
              <w:bottom w:val="nil"/>
              <w:right w:val="nil"/>
            </w:tcBorders>
            <w:vAlign w:val="center"/>
            <w:hideMark/>
          </w:tcPr>
          <w:p w:rsidR="00000000" w:rsidRDefault="00121518">
            <w:pPr>
              <w:rPr>
                <w:rFonts w:eastAsia="Times New Roman"/>
                <w:color w:val="000000"/>
              </w:rPr>
            </w:pPr>
            <w:r>
              <w:rPr>
                <w:rFonts w:eastAsia="Times New Roman"/>
                <w:color w:val="000000"/>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w:t>
            </w:r>
            <w:r>
              <w:rPr>
                <w:rFonts w:eastAsia="Times New Roman"/>
                <w:color w:val="000000"/>
              </w:rPr>
              <w:t>ринку, особи, яка здійснює оприлюднення регульованої інформації від імені учасника фондового ринку.</w:t>
            </w:r>
          </w:p>
        </w:tc>
      </w:tr>
      <w:tr w:rsidR="00000000">
        <w:tc>
          <w:tcPr>
            <w:tcW w:w="0" w:type="auto"/>
            <w:tcBorders>
              <w:top w:val="nil"/>
              <w:left w:val="nil"/>
              <w:bottom w:val="nil"/>
              <w:right w:val="nil"/>
            </w:tcBorders>
            <w:vAlign w:val="center"/>
            <w:hideMark/>
          </w:tcPr>
          <w:p w:rsidR="00000000" w:rsidRDefault="00121518">
            <w:pPr>
              <w:jc w:val="center"/>
              <w:rPr>
                <w:rFonts w:eastAsia="Times New Roman"/>
                <w:color w:val="000000"/>
              </w:rPr>
            </w:pPr>
            <w:r>
              <w:rPr>
                <w:rFonts w:eastAsia="Times New Roman"/>
                <w:color w:val="000000"/>
              </w:rPr>
              <w:t>ДУ "АРIФРУ"</w:t>
            </w:r>
            <w:r>
              <w:rPr>
                <w:rFonts w:eastAsia="Times New Roman"/>
                <w:color w:val="000000"/>
              </w:rPr>
              <w:br/>
              <w:t>21676262</w:t>
            </w:r>
            <w:r>
              <w:rPr>
                <w:rFonts w:eastAsia="Times New Roman"/>
                <w:color w:val="000000"/>
              </w:rPr>
              <w:br/>
              <w:t xml:space="preserve">УКРАЇНА </w:t>
            </w:r>
            <w:r>
              <w:rPr>
                <w:rFonts w:eastAsia="Times New Roman"/>
                <w:color w:val="000000"/>
              </w:rPr>
              <w:br/>
              <w:t>DR/00001/APA</w:t>
            </w:r>
          </w:p>
        </w:tc>
      </w:tr>
      <w:tr w:rsidR="00000000">
        <w:tc>
          <w:tcPr>
            <w:tcW w:w="0" w:type="auto"/>
            <w:tcMar>
              <w:top w:w="15" w:type="dxa"/>
              <w:left w:w="15" w:type="dxa"/>
              <w:bottom w:w="15" w:type="dxa"/>
              <w:right w:w="15" w:type="dxa"/>
            </w:tcMar>
            <w:vAlign w:val="center"/>
            <w:hideMark/>
          </w:tcPr>
          <w:p w:rsidR="00000000" w:rsidRDefault="00121518">
            <w:pPr>
              <w:jc w:val="center"/>
              <w:rPr>
                <w:rFonts w:eastAsia="Times New Roman"/>
                <w:color w:val="000000"/>
              </w:rPr>
            </w:pPr>
          </w:p>
        </w:tc>
      </w:tr>
    </w:tbl>
    <w:p w:rsidR="00000000" w:rsidRDefault="00121518">
      <w:pPr>
        <w:rPr>
          <w:rFonts w:eastAsia="Times New Roman"/>
          <w:color w:val="000000"/>
        </w:rPr>
      </w:pPr>
    </w:p>
    <w:p w:rsidR="00000000" w:rsidRDefault="00121518">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6637"/>
        <w:gridCol w:w="2308"/>
        <w:gridCol w:w="180"/>
        <w:gridCol w:w="1200"/>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rPr>
                <w:rFonts w:eastAsia="Times New Roman"/>
                <w:color w:val="000000"/>
              </w:rPr>
            </w:pPr>
            <w:r>
              <w:rPr>
                <w:rFonts w:eastAsia="Times New Roman"/>
                <w:color w:val="000000"/>
              </w:rPr>
              <w:t>Повідомлення розміщено на власному веб-сайті учасника фондового ринку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http://shostka-hlib.pat.ua</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08.04.2019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21518">
            <w:pPr>
              <w:jc w:val="center"/>
              <w:rPr>
                <w:rFonts w:eastAsia="Times New Roman"/>
                <w:color w:val="000000"/>
              </w:rPr>
            </w:pPr>
            <w:r>
              <w:rPr>
                <w:rStyle w:val="small-text1"/>
                <w:rFonts w:eastAsia="Times New Roman"/>
                <w:color w:val="000000"/>
              </w:rPr>
              <w:t>(дата)</w:t>
            </w:r>
          </w:p>
        </w:tc>
      </w:tr>
    </w:tbl>
    <w:p w:rsidR="00000000" w:rsidRDefault="00121518">
      <w:pPr>
        <w:rPr>
          <w:rFonts w:eastAsia="Times New Roman"/>
          <w:color w:val="000000"/>
        </w:rPr>
        <w:sectPr w:rsidR="00000000">
          <w:pgSz w:w="11907" w:h="16840"/>
          <w:pgMar w:top="1134" w:right="851" w:bottom="851" w:left="851" w:header="0" w:footer="0" w:gutter="0"/>
          <w:cols w:space="708"/>
          <w:docGrid w:linePitch="360"/>
        </w:sectPr>
      </w:pPr>
    </w:p>
    <w:p w:rsidR="00000000" w:rsidRDefault="00121518">
      <w:pPr>
        <w:pStyle w:val="3"/>
        <w:rPr>
          <w:rFonts w:eastAsia="Times New Roman"/>
          <w:color w:val="000000"/>
        </w:rPr>
      </w:pPr>
      <w:r>
        <w:rPr>
          <w:rFonts w:eastAsia="Times New Roman"/>
          <w:color w:val="000000"/>
        </w:rPr>
        <w:t>Відомості про прийняття рішення про попереднє надання згоди на вчинення значних правочинів</w:t>
      </w:r>
    </w:p>
    <w:tbl>
      <w:tblPr>
        <w:tblW w:w="5000" w:type="pct"/>
        <w:tblCellMar>
          <w:top w:w="15" w:type="dxa"/>
          <w:left w:w="15" w:type="dxa"/>
          <w:bottom w:w="15" w:type="dxa"/>
          <w:right w:w="15" w:type="dxa"/>
        </w:tblCellMar>
        <w:tblLook w:val="04A0" w:firstRow="1" w:lastRow="0" w:firstColumn="1" w:lastColumn="0" w:noHBand="0" w:noVBand="1"/>
      </w:tblPr>
      <w:tblGrid>
        <w:gridCol w:w="748"/>
        <w:gridCol w:w="2995"/>
        <w:gridCol w:w="2995"/>
        <w:gridCol w:w="3744"/>
        <w:gridCol w:w="4493"/>
      </w:tblGrid>
      <w:tr w:rsidR="00000000">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b/>
                <w:bCs/>
                <w:color w:val="000000"/>
              </w:rPr>
            </w:pPr>
            <w:r>
              <w:rPr>
                <w:rFonts w:eastAsia="Times New Roman"/>
                <w:b/>
                <w:bCs/>
                <w:color w:val="00000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b/>
                <w:bCs/>
                <w:color w:val="000000"/>
              </w:rPr>
            </w:pPr>
            <w:r>
              <w:rPr>
                <w:rFonts w:eastAsia="Times New Roman"/>
                <w:b/>
                <w:bCs/>
                <w:color w:val="000000"/>
              </w:rPr>
              <w:t>Дата прийняття рішення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b/>
                <w:bCs/>
                <w:color w:val="000000"/>
              </w:rPr>
            </w:pPr>
            <w:r>
              <w:rPr>
                <w:rFonts w:eastAsia="Times New Roman"/>
                <w:b/>
                <w:bCs/>
                <w:color w:val="000000"/>
              </w:rPr>
              <w:t>Гранична сукупна вартість правочинів (тис. грн)</w:t>
            </w:r>
          </w:p>
        </w:tc>
        <w:tc>
          <w:tcPr>
            <w:tcW w:w="1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b/>
                <w:bCs/>
                <w:color w:val="000000"/>
              </w:rPr>
            </w:pPr>
            <w:r>
              <w:rPr>
                <w:rFonts w:eastAsia="Times New Roman"/>
                <w:b/>
                <w:bCs/>
                <w:color w:val="000000"/>
              </w:rPr>
              <w:t>Вартість активів емітента за даними останньої річної фінансової звітності (тис. грн)</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b/>
                <w:bCs/>
                <w:color w:val="000000"/>
              </w:rPr>
            </w:pPr>
            <w:r>
              <w:rPr>
                <w:rFonts w:eastAsia="Times New Roman"/>
                <w:b/>
                <w:bCs/>
                <w:color w:val="000000"/>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000000">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b/>
                <w:bCs/>
                <w:color w:val="000000"/>
              </w:rPr>
            </w:pPr>
            <w:r>
              <w:rPr>
                <w:rFonts w:eastAsia="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b/>
                <w:bCs/>
                <w:color w:val="000000"/>
              </w:rPr>
            </w:pPr>
            <w:r>
              <w:rPr>
                <w:rFonts w:eastAsia="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b/>
                <w:bCs/>
                <w:color w:val="000000"/>
              </w:rPr>
            </w:pPr>
            <w:r>
              <w:rPr>
                <w:rFonts w:eastAsia="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b/>
                <w:bCs/>
                <w:color w:val="000000"/>
              </w:rPr>
            </w:pPr>
            <w:r>
              <w:rPr>
                <w:rFonts w:eastAsia="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b/>
                <w:bCs/>
                <w:color w:val="000000"/>
              </w:rPr>
            </w:pPr>
            <w:r>
              <w:rPr>
                <w:rFonts w:eastAsia="Times New Roman"/>
                <w:b/>
                <w:bCs/>
                <w:color w:val="00000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08.04.2019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19316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jc w:val="center"/>
              <w:rPr>
                <w:rFonts w:eastAsia="Times New Roman"/>
                <w:color w:val="000000"/>
              </w:rPr>
            </w:pPr>
            <w:r>
              <w:rPr>
                <w:rFonts w:eastAsia="Times New Roman"/>
                <w:color w:val="000000"/>
              </w:rPr>
              <w:t>10354.1</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rPr>
                <w:rFonts w:eastAsia="Times New Roman"/>
                <w:b/>
                <w:bCs/>
                <w:color w:val="000000"/>
              </w:rPr>
            </w:pPr>
            <w:r>
              <w:rPr>
                <w:rFonts w:eastAsia="Times New Roman"/>
                <w:b/>
                <w:bCs/>
                <w:color w:val="000000"/>
              </w:rPr>
              <w:t>Зміст інформації:</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21518">
            <w:pPr>
              <w:ind w:firstLine="200"/>
              <w:rPr>
                <w:rFonts w:eastAsia="Times New Roman"/>
                <w:color w:val="000000"/>
              </w:rPr>
            </w:pPr>
            <w:r>
              <w:rPr>
                <w:rFonts w:eastAsia="Times New Roman"/>
                <w:color w:val="000000"/>
              </w:rPr>
              <w:t xml:space="preserve">Загальними зборами акцiонерiв ПрАТ "Шосткинський хлiбокомбiнат" (протокол № 1/2019) 08.04.2019 року прийнято рiшення попередньо надати згоду на вчинення значних правочинiв, якi </w:t>
            </w:r>
            <w:r>
              <w:rPr>
                <w:rFonts w:eastAsia="Times New Roman"/>
                <w:color w:val="000000"/>
              </w:rPr>
              <w:t>можуть вчинятися, в тому числi неодноразово, Товариством протягом одного року з дати прийняття рiшення, а саме:</w:t>
            </w:r>
            <w:r>
              <w:rPr>
                <w:rFonts w:eastAsia="Times New Roman"/>
                <w:color w:val="000000"/>
              </w:rPr>
              <w:br/>
              <w:t>-ринкова вартiсть майна або послуг, що є предметом значного правочину, перевищує 25% вартостi активiв за даними останньої рiчної фiнансової звiт</w:t>
            </w:r>
            <w:r>
              <w:rPr>
                <w:rFonts w:eastAsia="Times New Roman"/>
                <w:color w:val="000000"/>
              </w:rPr>
              <w:t>ностi Товариства;</w:t>
            </w:r>
            <w:r>
              <w:rPr>
                <w:rFonts w:eastAsia="Times New Roman"/>
                <w:color w:val="000000"/>
              </w:rPr>
              <w:br/>
              <w:t>-ринкова вартiсть майна або послуг, що є предметом такого правочину, перевищує 25%, але менша нiж 50% вартостi активiв за даними останньої рiчної фiнансової звiтностi Товариства;</w:t>
            </w:r>
            <w:r>
              <w:rPr>
                <w:rFonts w:eastAsia="Times New Roman"/>
                <w:color w:val="000000"/>
              </w:rPr>
              <w:br/>
              <w:t>-ринкова вартiсть майна, робiт або послуг, що є предметом т</w:t>
            </w:r>
            <w:r>
              <w:rPr>
                <w:rFonts w:eastAsia="Times New Roman"/>
                <w:color w:val="000000"/>
              </w:rPr>
              <w:t>акого правочину, становить 50% i бiльше вартостi активiв за даними останньої рiчної фiнансової звiтностi Товариства;</w:t>
            </w:r>
            <w:r>
              <w:rPr>
                <w:rFonts w:eastAsia="Times New Roman"/>
                <w:color w:val="000000"/>
              </w:rPr>
              <w:br/>
              <w:t>- значних правочинiв, предметом яких є (якi за своїм характером направленi на): одержання Товариством у будь-яких фiзичних та/або юридичних</w:t>
            </w:r>
            <w:r>
              <w:rPr>
                <w:rFonts w:eastAsia="Times New Roman"/>
                <w:color w:val="000000"/>
              </w:rPr>
              <w:t xml:space="preserve"> осiб кредитiв та/або позик; надання Товариством в заставу та/або iпотеку власного майна для забезпечення кредитних та/або позикових операцiй Товариства та/або будь-яких третiх осiб; надання Товариством порук (в тому числi майнових порук) для забезпечення </w:t>
            </w:r>
            <w:r>
              <w:rPr>
                <w:rFonts w:eastAsia="Times New Roman"/>
                <w:color w:val="000000"/>
              </w:rPr>
              <w:t xml:space="preserve">кредитних та/або позикових операцiй Товариства та/або будь-яких третiх осiб; страхування майна Товариства; вiдчуження майна Товариства, що пов’язане iз зверненням стягнення на предмет застави та/або iпотеки вiдповiдно до умов зазначених правочинiв застави </w:t>
            </w:r>
            <w:r>
              <w:rPr>
                <w:rFonts w:eastAsia="Times New Roman"/>
                <w:color w:val="000000"/>
              </w:rPr>
              <w:t>та/або iпотеки, зокрема, але не виключно, укладання договорiв кредиту, страхування, застави та/або iпотеки, поруки (в тому числi майнової поруки) iз правом наступних застав (перезастав) для забезпечення кредитних операцiй Товариства та/або будь-яких третiх</w:t>
            </w:r>
            <w:r>
              <w:rPr>
                <w:rFonts w:eastAsia="Times New Roman"/>
                <w:color w:val="000000"/>
              </w:rPr>
              <w:t xml:space="preserve"> осiб та iнших договорiв, контрактiв, угод, правочинiв;</w:t>
            </w:r>
            <w:r>
              <w:rPr>
                <w:rFonts w:eastAsia="Times New Roman"/>
                <w:color w:val="000000"/>
              </w:rPr>
              <w:br/>
              <w:t>- значних правочинiв, предметом яких є (якi за своїм характером направленi на): придбання або вiдчуження Товариством рухомого та/або нерухомого майна, продукцiї, цiнних паперiв, майнових та немайнових</w:t>
            </w:r>
            <w:r>
              <w:rPr>
                <w:rFonts w:eastAsia="Times New Roman"/>
                <w:color w:val="000000"/>
              </w:rPr>
              <w:t xml:space="preserve"> прав, зокрема, але не виключно, укладання, договорiв поставки, купiвлi-продажу, мiни, комiсiї та iнших договорiв, контрактiв, угод, правочинiв;</w:t>
            </w:r>
            <w:r>
              <w:rPr>
                <w:rFonts w:eastAsia="Times New Roman"/>
                <w:color w:val="000000"/>
              </w:rPr>
              <w:br/>
              <w:t>- значних правочинiв, предметом яких є (якi за своїм характером направленi на): сумiсну дiяльнiсть, надання та/</w:t>
            </w:r>
            <w:r>
              <w:rPr>
                <w:rFonts w:eastAsia="Times New Roman"/>
                <w:color w:val="000000"/>
              </w:rPr>
              <w:t>або отримання послуг, зокрема, але не виключно, укладання, договорiв про спiльну дiяльнiсть, пiдряду, послуг, оренди, суперфiцiю, правочини щодо реконструкцiї, знесення, подiлу, видiлу нерухомого майна Товариства та iнших договорiв, контрактiв, угод, право</w:t>
            </w:r>
            <w:r>
              <w:rPr>
                <w:rFonts w:eastAsia="Times New Roman"/>
                <w:color w:val="000000"/>
              </w:rPr>
              <w:t>чинiв;</w:t>
            </w:r>
            <w:r>
              <w:rPr>
                <w:rFonts w:eastAsia="Times New Roman"/>
                <w:color w:val="000000"/>
              </w:rPr>
              <w:br/>
              <w:t>- будь-яких правочинiв щодо внесення змiн та/або доповнень до таких значних Правочинiв або розiрвання (припинення) таких значних Правочинiв.</w:t>
            </w:r>
            <w:r>
              <w:rPr>
                <w:rFonts w:eastAsia="Times New Roman"/>
                <w:color w:val="000000"/>
              </w:rPr>
              <w:br/>
              <w:t>Гранична сукупна вартiсть (сума) всiх вказаних значних правочинiв (з усiма можливими змiнами та доповненнями</w:t>
            </w:r>
            <w:r>
              <w:rPr>
                <w:rFonts w:eastAsia="Times New Roman"/>
                <w:color w:val="000000"/>
              </w:rPr>
              <w:t>), укладених протягом одного року з дати прийняття цього рiшення, не може перевищувати еквiвалент 2 000 000 000 (два мiльярди) гривень.</w:t>
            </w:r>
            <w:r>
              <w:rPr>
                <w:rFonts w:eastAsia="Times New Roman"/>
                <w:color w:val="000000"/>
              </w:rPr>
              <w:br/>
              <w:t>Уповноважити Голову правлiння узгодити умови значних правочинiв, укласти та пiдписати значнi правочини</w:t>
            </w:r>
            <w:r>
              <w:rPr>
                <w:rFonts w:eastAsia="Times New Roman"/>
                <w:color w:val="000000"/>
              </w:rPr>
              <w:br/>
              <w:t xml:space="preserve">Вартiсть активiв </w:t>
            </w:r>
            <w:r>
              <w:rPr>
                <w:rFonts w:eastAsia="Times New Roman"/>
                <w:color w:val="000000"/>
              </w:rPr>
              <w:t>емiтента за даними останньої рiчної фiнансової звiтностi - 19316 тис. грн.</w:t>
            </w:r>
            <w:r>
              <w:rPr>
                <w:rFonts w:eastAsia="Times New Roman"/>
                <w:color w:val="000000"/>
              </w:rPr>
              <w:br/>
              <w:t>Спiввiдношення граничної сукупностi вартостi правочинiв до вартостi активiв емiтента за даними останньої рiчної фiнансової звiтностi - 10354.1 %.</w:t>
            </w:r>
            <w:r>
              <w:rPr>
                <w:rFonts w:eastAsia="Times New Roman"/>
                <w:color w:val="000000"/>
              </w:rPr>
              <w:br/>
              <w:t>Загальна кiлькiсть голосуючих акцiй</w:t>
            </w:r>
            <w:r>
              <w:rPr>
                <w:rFonts w:eastAsia="Times New Roman"/>
                <w:color w:val="000000"/>
              </w:rPr>
              <w:t xml:space="preserve"> -1 629 516 шт., </w:t>
            </w:r>
            <w:r>
              <w:rPr>
                <w:rFonts w:eastAsia="Times New Roman"/>
                <w:color w:val="000000"/>
              </w:rPr>
              <w:br/>
              <w:t>Загальна кiлькiсть голосуючих акцiй, що зареєстрованi для участi у загальних зборах- 1609396 шт.,</w:t>
            </w:r>
            <w:r>
              <w:rPr>
                <w:rFonts w:eastAsia="Times New Roman"/>
                <w:color w:val="000000"/>
              </w:rPr>
              <w:br/>
              <w:t>Загальна кiлькiсть голосуючих акцiй, що проголосували за прийняття рiшення:</w:t>
            </w:r>
            <w:r>
              <w:rPr>
                <w:rFonts w:eastAsia="Times New Roman"/>
                <w:color w:val="000000"/>
              </w:rPr>
              <w:br/>
              <w:t>"за" – 1609396 голосiв (або 100 % вiд загальної кiлькостi голосi</w:t>
            </w:r>
            <w:r>
              <w:rPr>
                <w:rFonts w:eastAsia="Times New Roman"/>
                <w:color w:val="000000"/>
              </w:rPr>
              <w:t>в акцiонерiв, якi зареєструвалися для участi у загальних зборах та є власниками голосуючих з цього питання акцiй)</w:t>
            </w:r>
            <w:r>
              <w:rPr>
                <w:rFonts w:eastAsia="Times New Roman"/>
                <w:color w:val="000000"/>
              </w:rPr>
              <w:br/>
              <w:t>"проти" – 0 голосiв (або 0 % вiд загальної кiлькостi голосiв акцiонерiв, якi зареєструвалися для участi у загальних зборах та є власниками гол</w:t>
            </w:r>
            <w:r>
              <w:rPr>
                <w:rFonts w:eastAsia="Times New Roman"/>
                <w:color w:val="000000"/>
              </w:rPr>
              <w:t>осуючих з цього питання акцiй)</w:t>
            </w:r>
            <w:r>
              <w:rPr>
                <w:rFonts w:eastAsia="Times New Roman"/>
                <w:color w:val="000000"/>
              </w:rPr>
              <w:br/>
              <w:t>"утримались"– 0 голосiв (0 % вiд загальної кiлькостi голосiв акцiонерiв, якi зареєструвалися для участi у загальних зборах та є власниками голосуючих з цього питання акцiй)</w:t>
            </w:r>
            <w:r>
              <w:rPr>
                <w:rFonts w:eastAsia="Times New Roman"/>
                <w:color w:val="000000"/>
              </w:rPr>
              <w:br/>
              <w:t>Рiшення прийнято одноголосно.</w:t>
            </w:r>
          </w:p>
        </w:tc>
      </w:tr>
    </w:tbl>
    <w:p w:rsidR="00121518" w:rsidRDefault="00121518">
      <w:pPr>
        <w:rPr>
          <w:rFonts w:eastAsia="Times New Roman"/>
        </w:rPr>
      </w:pPr>
    </w:p>
    <w:sectPr w:rsidR="00121518">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CB00ED"/>
    <w:rsid w:val="00121518"/>
    <w:rsid w:val="00CB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2019-04-08T14:32:00Z</dcterms:created>
  <dcterms:modified xsi:type="dcterms:W3CDTF">2019-04-08T14:32:00Z</dcterms:modified>
</cp:coreProperties>
</file>